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DC952" w14:textId="5AEBCFC0" w:rsidR="00BE4F6D" w:rsidRPr="00224C61" w:rsidRDefault="00BE4F6D" w:rsidP="009C6D0D">
      <w:pPr>
        <w:ind w:left="360"/>
        <w:jc w:val="both"/>
        <w:rPr>
          <w:rFonts w:asciiTheme="minorHAnsi" w:hAnsiTheme="minorHAnsi" w:cstheme="minorHAnsi"/>
        </w:rPr>
      </w:pPr>
    </w:p>
    <w:p w14:paraId="4A914267" w14:textId="286CA233" w:rsidR="00BE4F6D" w:rsidRPr="009959DF" w:rsidRDefault="00BE4F6D" w:rsidP="009C6D0D">
      <w:pPr>
        <w:ind w:left="567"/>
        <w:jc w:val="both"/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mc:AlternateContent>
          <mc:Choice Requires="wps">
            <w:drawing>
              <wp:anchor distT="0" distB="0" distL="457200" distR="114300" simplePos="0" relativeHeight="251658240" behindDoc="0" locked="0" layoutInCell="0" allowOverlap="1" wp14:anchorId="6C826897" wp14:editId="33A90A93">
                <wp:simplePos x="0" y="0"/>
                <wp:positionH relativeFrom="page">
                  <wp:posOffset>5658485</wp:posOffset>
                </wp:positionH>
                <wp:positionV relativeFrom="margin">
                  <wp:posOffset>205105</wp:posOffset>
                </wp:positionV>
                <wp:extent cx="1696720" cy="9676765"/>
                <wp:effectExtent l="0" t="0" r="0" b="635"/>
                <wp:wrapSquare wrapText="bothSides"/>
                <wp:docPr id="216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96720" cy="967676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35000"/>
                          </a:schemeClr>
                        </a:solidFill>
                        <a:extLst/>
                      </wps:spPr>
                      <wps:txbx>
                        <w:txbxContent>
                          <w:p w14:paraId="20A82916" w14:textId="77777777" w:rsidR="00D33149" w:rsidRPr="00035017" w:rsidRDefault="00D33149" w:rsidP="009959DF">
                            <w:pPr>
                              <w:autoSpaceDE w:val="0"/>
                              <w:autoSpaceDN w:val="0"/>
                              <w:adjustRightInd w:val="0"/>
                              <w:ind w:left="-142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C00000"/>
                                <w:sz w:val="22"/>
                                <w:szCs w:val="22"/>
                              </w:rPr>
                            </w:pPr>
                          </w:p>
                          <w:p w14:paraId="0D87CEAE" w14:textId="1E21BE73" w:rsidR="00695AC1" w:rsidRDefault="00695AC1" w:rsidP="00813DC0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</w:pPr>
                            <w:r w:rsidRPr="00695AC1"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  <w:t xml:space="preserve">Programa de Parcelamento de Débitos - PPD e Programa Especial de Parcelamento - PEP do ICMS </w:t>
                            </w:r>
                            <w:r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  <w:t>–</w:t>
                            </w:r>
                            <w:r w:rsidRPr="00695AC1"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  <w:t xml:space="preserve"> </w:t>
                            </w:r>
                          </w:p>
                          <w:p w14:paraId="141F5C76" w14:textId="4821825D" w:rsidR="00695AC1" w:rsidRDefault="00695AC1" w:rsidP="00813DC0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</w:pPr>
                            <w:r w:rsidRPr="00695AC1">
                              <w:rPr>
                                <w:rFonts w:ascii="Arial" w:eastAsiaTheme="minorHAnsi" w:hAnsi="Arial" w:cs="Arial"/>
                                <w:b/>
                                <w:color w:val="C00000"/>
                              </w:rPr>
                              <w:t>Regulamentação e alteração</w:t>
                            </w:r>
                          </w:p>
                          <w:p w14:paraId="122ADB4F" w14:textId="77777777" w:rsidR="00695AC1" w:rsidRPr="003472FC" w:rsidRDefault="00695AC1" w:rsidP="00813DC0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Arial" w:eastAsiaTheme="minorHAnsi" w:hAnsi="Arial" w:cs="Arial"/>
                                <w:b/>
                                <w:color w:val="2E2C2D"/>
                                <w:sz w:val="20"/>
                                <w:szCs w:val="20"/>
                              </w:rPr>
                            </w:pPr>
                          </w:p>
                          <w:p w14:paraId="001331EC" w14:textId="7108BE33" w:rsidR="008F06F6" w:rsidRPr="00D019FB" w:rsidRDefault="00695AC1" w:rsidP="00FF78F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</w:rPr>
                              <w:t>Decreto nº 61.696</w:t>
                            </w:r>
                          </w:p>
                          <w:p w14:paraId="7B6EE4E0" w14:textId="1BBAA42C" w:rsidR="008F06F6" w:rsidRPr="00D019FB" w:rsidRDefault="008F06F6" w:rsidP="00FF78F6">
                            <w:pPr>
                              <w:autoSpaceDE w:val="0"/>
                              <w:autoSpaceDN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182880" tIns="182880" rIns="182880" bIns="18288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26897" id="AutoForma 14" o:spid="_x0000_s1026" style="position:absolute;left:0;text-align:left;margin-left:445.55pt;margin-top:16.15pt;width:133.6pt;height:761.95pt;z-index:251658240;visibility:visible;mso-wrap-style:square;mso-width-percent:0;mso-height-percent:0;mso-wrap-distance-left:36pt;mso-wrap-distance-top:0;mso-wrap-distance-right:9pt;mso-wrap-distance-bottom:0;mso-position-horizontal:absolute;mso-position-horizontal-relative:page;mso-position-vertical:absolute;mso-position-vertical-relative:margin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" o:allowincell="f" fillcolor="#d6e3bc [1302]" stroked="f">
                <v:fill opacity="22873f"/>
                <v:textbox inset="14.4pt,14.4pt,14.4pt,14.4pt">
                  <w:txbxContent>
                    <w:p w14:paraId="20A82916" w14:textId="77777777" w:rsidR="00D33149" w:rsidRPr="00035017" w:rsidRDefault="00D33149" w:rsidP="009959DF">
                      <w:pPr>
                        <w:autoSpaceDE w:val="0"/>
                        <w:autoSpaceDN w:val="0"/>
                        <w:adjustRightInd w:val="0"/>
                        <w:ind w:left="-142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C00000"/>
                          <w:sz w:val="22"/>
                          <w:szCs w:val="22"/>
                        </w:rPr>
                      </w:pPr>
                    </w:p>
                    <w:p w14:paraId="0D87CEAE" w14:textId="1E21BE73" w:rsidR="00695AC1" w:rsidRDefault="00695AC1" w:rsidP="00813DC0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</w:pPr>
                      <w:r w:rsidRPr="00695AC1"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  <w:t xml:space="preserve">Programa de Parcelamento de Débitos - PPD e Programa Especial de Parcelamento - PEP do ICMS </w:t>
                      </w:r>
                      <w:r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  <w:t>–</w:t>
                      </w:r>
                      <w:r w:rsidRPr="00695AC1"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  <w:t xml:space="preserve"> </w:t>
                      </w:r>
                    </w:p>
                    <w:p w14:paraId="141F5C76" w14:textId="4821825D" w:rsidR="00695AC1" w:rsidRDefault="00695AC1" w:rsidP="00813DC0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</w:pPr>
                      <w:r w:rsidRPr="00695AC1">
                        <w:rPr>
                          <w:rFonts w:ascii="Arial" w:eastAsiaTheme="minorHAnsi" w:hAnsi="Arial" w:cs="Arial"/>
                          <w:b/>
                          <w:color w:val="C00000"/>
                        </w:rPr>
                        <w:t>Regulamentação e alteração</w:t>
                      </w:r>
                    </w:p>
                    <w:p w14:paraId="122ADB4F" w14:textId="77777777" w:rsidR="00695AC1" w:rsidRPr="003472FC" w:rsidRDefault="00695AC1" w:rsidP="00813DC0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Arial" w:eastAsiaTheme="minorHAnsi" w:hAnsi="Arial" w:cs="Arial"/>
                          <w:b/>
                          <w:color w:val="2E2C2D"/>
                          <w:sz w:val="20"/>
                          <w:szCs w:val="20"/>
                        </w:rPr>
                      </w:pPr>
                    </w:p>
                    <w:p w14:paraId="001331EC" w14:textId="7108BE33" w:rsidR="008F06F6" w:rsidRPr="00D019FB" w:rsidRDefault="00695AC1" w:rsidP="00FF78F6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</w:rPr>
                        <w:t>Decreto nº 61.696</w:t>
                      </w:r>
                      <w:bookmarkStart w:id="1" w:name="_GoBack"/>
                      <w:bookmarkEnd w:id="1"/>
                    </w:p>
                    <w:p w14:paraId="7B6EE4E0" w14:textId="1BBAA42C" w:rsidR="008F06F6" w:rsidRPr="00D019FB" w:rsidRDefault="008F06F6" w:rsidP="00FF78F6">
                      <w:pPr>
                        <w:autoSpaceDE w:val="0"/>
                        <w:autoSpaceDN w:val="0"/>
                        <w:adjustRightInd w:val="0"/>
                      </w:pPr>
                    </w:p>
                  </w:txbxContent>
                </v:textbox>
                <w10:wrap type="square" anchorx="page" anchory="margin"/>
              </v:rect>
            </w:pict>
          </mc:Fallback>
        </mc:AlternateContent>
      </w:r>
      <w:r w:rsidR="00035017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07</w:t>
      </w:r>
      <w:r w:rsidR="00D019FB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/12</w:t>
      </w:r>
      <w:r w:rsidR="00EE61B4"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/201</w:t>
      </w:r>
      <w:r w:rsidR="002363B4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5</w:t>
      </w:r>
    </w:p>
    <w:p w14:paraId="3F58434F" w14:textId="69CB013B" w:rsidR="00EE61B4" w:rsidRPr="009959DF" w:rsidRDefault="00EE61B4" w:rsidP="009C6D0D">
      <w:pPr>
        <w:ind w:left="567"/>
        <w:jc w:val="both"/>
        <w:rPr>
          <w:rFonts w:asciiTheme="minorHAnsi" w:hAnsiTheme="minorHAnsi" w:cstheme="minorHAnsi"/>
          <w:i/>
          <w:color w:val="A6A6A6" w:themeColor="background1" w:themeShade="A6"/>
          <w:sz w:val="20"/>
          <w:szCs w:val="20"/>
          <w14:textOutline w14:w="9525" w14:cap="rnd" w14:cmpd="sng" w14:algn="ctr">
            <w14:noFill/>
            <w14:prstDash w14:val="solid"/>
            <w14:bevel/>
          </w14:textOutline>
        </w:rPr>
      </w:pP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 xml:space="preserve">Por 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Gabriela Gruber Sentin</w:t>
      </w:r>
      <w:r w:rsidRPr="009959DF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 xml:space="preserve"> - Advogad</w:t>
      </w:r>
      <w:r w:rsidR="004D0529">
        <w:rPr>
          <w:rFonts w:asciiTheme="minorHAnsi" w:hAnsiTheme="minorHAnsi" w:cstheme="minorHAnsi"/>
          <w:i/>
          <w:noProof/>
          <w:color w:val="A6A6A6" w:themeColor="background1" w:themeShade="A6"/>
          <w:sz w:val="20"/>
          <w:szCs w:val="20"/>
          <w:lang w:eastAsia="pt-BR"/>
        </w:rPr>
        <w:t>a</w:t>
      </w:r>
    </w:p>
    <w:p w14:paraId="563CEC05" w14:textId="77777777" w:rsidR="003472FC" w:rsidRPr="00BD77C5" w:rsidRDefault="003472FC" w:rsidP="003472FC">
      <w:pPr>
        <w:tabs>
          <w:tab w:val="left" w:pos="10773"/>
        </w:tabs>
        <w:jc w:val="both"/>
        <w:rPr>
          <w:lang w:eastAsia="ko-KR"/>
        </w:rPr>
      </w:pPr>
    </w:p>
    <w:p w14:paraId="2A660743" w14:textId="7ADDD656" w:rsidR="00695AC1" w:rsidRDefault="00035017" w:rsidP="00695AC1">
      <w:pPr>
        <w:tabs>
          <w:tab w:val="left" w:pos="10773"/>
        </w:tabs>
        <w:ind w:left="567"/>
        <w:jc w:val="both"/>
      </w:pPr>
      <w:r w:rsidRPr="00BD77C5">
        <w:t xml:space="preserve">Foi publicado no DOU de hoje (7.12.2015) o </w:t>
      </w:r>
      <w:r w:rsidR="00695AC1">
        <w:t>Decreto nº 61.696/2015</w:t>
      </w:r>
      <w:r w:rsidR="00BD77C5" w:rsidRPr="00BD77C5">
        <w:t>.</w:t>
      </w:r>
      <w:r w:rsidR="00BD77C5" w:rsidRPr="00BD77C5">
        <w:br/>
        <w:t> </w:t>
      </w:r>
      <w:r w:rsidR="00BD77C5" w:rsidRPr="00BD77C5">
        <w:br/>
      </w:r>
      <w:r w:rsidR="00695AC1">
        <w:t xml:space="preserve">O Decreto nº 61.696/2015 regulamentou a Lei nº 16.029/2015, que instituiu o Programa de Parcelamento de Débitos - PPD, para regularização de débitos de natureza tributária decorrentes de fatos geradores ocorridos até 31.12.2014 e os débitos de natureza não tributária vencidos até 31.12.2014, inscritos em Dívida Ativa, ajuizados ou não, </w:t>
      </w:r>
      <w:r w:rsidR="00695AC1" w:rsidRPr="00695AC1">
        <w:rPr>
          <w:u w:val="single"/>
        </w:rPr>
        <w:t>referentes ao IPVA, ITCMD</w:t>
      </w:r>
      <w:r w:rsidR="00695AC1">
        <w:t xml:space="preserve">, taxas, multas, ressarcimentos e outros. </w:t>
      </w:r>
    </w:p>
    <w:p w14:paraId="31CD096E" w14:textId="77777777" w:rsidR="00695AC1" w:rsidRDefault="00695AC1" w:rsidP="00695AC1">
      <w:pPr>
        <w:tabs>
          <w:tab w:val="left" w:pos="10773"/>
        </w:tabs>
        <w:ind w:left="567"/>
        <w:jc w:val="both"/>
      </w:pPr>
    </w:p>
    <w:p w14:paraId="21EF9AA7" w14:textId="77777777" w:rsidR="00695AC1" w:rsidRDefault="00695AC1" w:rsidP="00695AC1">
      <w:pPr>
        <w:tabs>
          <w:tab w:val="left" w:pos="10773"/>
        </w:tabs>
        <w:ind w:left="567"/>
        <w:jc w:val="both"/>
      </w:pPr>
      <w:r>
        <w:t xml:space="preserve">Citado ato dispôs, dentre outros assuntos, sobre: </w:t>
      </w:r>
    </w:p>
    <w:p w14:paraId="03A49D0E" w14:textId="77777777" w:rsidR="00695AC1" w:rsidRDefault="00695AC1" w:rsidP="00695AC1">
      <w:pPr>
        <w:tabs>
          <w:tab w:val="left" w:pos="10773"/>
        </w:tabs>
        <w:ind w:left="567"/>
        <w:jc w:val="both"/>
      </w:pPr>
    </w:p>
    <w:p w14:paraId="5D29C933" w14:textId="77777777" w:rsidR="00695AC1" w:rsidRDefault="00695AC1" w:rsidP="00695AC1">
      <w:pPr>
        <w:tabs>
          <w:tab w:val="left" w:pos="10773"/>
        </w:tabs>
        <w:ind w:left="567"/>
        <w:jc w:val="both"/>
      </w:pPr>
      <w:r>
        <w:t xml:space="preserve">a) a redução dos juros e multas; </w:t>
      </w:r>
    </w:p>
    <w:p w14:paraId="73722B63" w14:textId="77777777" w:rsidR="00695AC1" w:rsidRDefault="00695AC1" w:rsidP="00695AC1">
      <w:pPr>
        <w:tabs>
          <w:tab w:val="left" w:pos="10773"/>
        </w:tabs>
        <w:ind w:left="567"/>
        <w:jc w:val="both"/>
      </w:pPr>
      <w:r>
        <w:t xml:space="preserve">b) a possibilidade de parcelamento em até 24 parcelas mensais e consecutivas; </w:t>
      </w:r>
    </w:p>
    <w:p w14:paraId="164047DC" w14:textId="77777777" w:rsidR="00695AC1" w:rsidRDefault="00695AC1" w:rsidP="00695AC1">
      <w:pPr>
        <w:tabs>
          <w:tab w:val="left" w:pos="10773"/>
        </w:tabs>
        <w:ind w:left="567"/>
        <w:jc w:val="both"/>
      </w:pPr>
      <w:r>
        <w:t xml:space="preserve">c) o valor mínimo das parcelas; </w:t>
      </w:r>
    </w:p>
    <w:p w14:paraId="112C2145" w14:textId="77777777" w:rsidR="00695AC1" w:rsidRDefault="00695AC1" w:rsidP="00695AC1">
      <w:pPr>
        <w:tabs>
          <w:tab w:val="left" w:pos="10773"/>
        </w:tabs>
        <w:ind w:left="567"/>
        <w:jc w:val="both"/>
      </w:pPr>
      <w:r>
        <w:t xml:space="preserve">d) a adesão ao programa no período de 7.12 a 15.12.2015; </w:t>
      </w:r>
    </w:p>
    <w:p w14:paraId="273152C8" w14:textId="6505170D" w:rsidR="00695AC1" w:rsidRDefault="00695AC1" w:rsidP="00695AC1">
      <w:pPr>
        <w:tabs>
          <w:tab w:val="left" w:pos="10773"/>
        </w:tabs>
        <w:ind w:left="567"/>
        <w:jc w:val="both"/>
      </w:pPr>
      <w:r>
        <w:t xml:space="preserve">e) o cancelamento de débitos. </w:t>
      </w:r>
    </w:p>
    <w:p w14:paraId="2B05D58D" w14:textId="77777777" w:rsidR="00695AC1" w:rsidRDefault="00695AC1" w:rsidP="00695AC1">
      <w:pPr>
        <w:tabs>
          <w:tab w:val="left" w:pos="10773"/>
        </w:tabs>
        <w:ind w:left="567"/>
        <w:jc w:val="both"/>
      </w:pPr>
    </w:p>
    <w:p w14:paraId="31685DE3" w14:textId="2A419A66" w:rsidR="00012B08" w:rsidRDefault="00695AC1" w:rsidP="00695AC1">
      <w:pPr>
        <w:tabs>
          <w:tab w:val="left" w:pos="10773"/>
        </w:tabs>
        <w:ind w:left="567"/>
        <w:jc w:val="both"/>
      </w:pPr>
      <w:r>
        <w:t xml:space="preserve">Por fim, mencionado ato ainda alterou o Decreto nº 61.625/2015, que trata sobre o Programa Especial de Parcelamento - PEP do ICMS, </w:t>
      </w:r>
      <w:r w:rsidRPr="00695AC1">
        <w:rPr>
          <w:u w:val="single"/>
        </w:rPr>
        <w:t>para prever o conceito de débito incobrável para fins de cancelamento por remissão dos débitos constituídos relativos ao ICM e ao ICMS</w:t>
      </w:r>
      <w:r>
        <w:t>.</w:t>
      </w:r>
    </w:p>
    <w:p w14:paraId="204996E8" w14:textId="77777777" w:rsidR="00BD77C5" w:rsidRDefault="00BD77C5" w:rsidP="00BD77C5">
      <w:pPr>
        <w:tabs>
          <w:tab w:val="left" w:pos="10773"/>
        </w:tabs>
        <w:ind w:left="567"/>
        <w:jc w:val="both"/>
      </w:pPr>
    </w:p>
    <w:p w14:paraId="1BEF0BDD" w14:textId="77777777" w:rsidR="00695AC1" w:rsidRDefault="00695AC1" w:rsidP="00695AC1">
      <w:pPr>
        <w:tabs>
          <w:tab w:val="left" w:pos="10773"/>
        </w:tabs>
        <w:ind w:left="567"/>
        <w:jc w:val="both"/>
      </w:pPr>
      <w:r>
        <w:t>Este decreto entra em vigor na data de sua publicação.</w:t>
      </w:r>
    </w:p>
    <w:p w14:paraId="3CA6E00C" w14:textId="77777777" w:rsidR="00695AC1" w:rsidRDefault="00695AC1" w:rsidP="00695AC1">
      <w:pPr>
        <w:tabs>
          <w:tab w:val="left" w:pos="10773"/>
        </w:tabs>
        <w:ind w:left="567"/>
        <w:jc w:val="both"/>
      </w:pPr>
    </w:p>
    <w:p w14:paraId="0CF32AA9" w14:textId="63EE5362" w:rsidR="00012B08" w:rsidRDefault="00012B08" w:rsidP="009C6D0D">
      <w:pPr>
        <w:tabs>
          <w:tab w:val="left" w:pos="10773"/>
        </w:tabs>
        <w:ind w:left="1134"/>
        <w:jc w:val="center"/>
        <w:rPr>
          <w:sz w:val="22"/>
          <w:szCs w:val="22"/>
        </w:rPr>
      </w:pPr>
      <w:bookmarkStart w:id="0" w:name="_GoBack"/>
      <w:bookmarkEnd w:id="0"/>
    </w:p>
    <w:sectPr w:rsidR="00012B08" w:rsidSect="00CF0C69">
      <w:footerReference w:type="even" r:id="rId8"/>
      <w:footerReference w:type="default" r:id="rId9"/>
      <w:headerReference w:type="first" r:id="rId10"/>
      <w:footerReference w:type="first" r:id="rId11"/>
      <w:type w:val="continuous"/>
      <w:pgSz w:w="11900" w:h="16840"/>
      <w:pgMar w:top="1276" w:right="418" w:bottom="0" w:left="0" w:header="340" w:footer="34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1808F6" w14:textId="77777777" w:rsidR="00AD2A0F" w:rsidRDefault="00AD2A0F">
      <w:r>
        <w:separator/>
      </w:r>
    </w:p>
  </w:endnote>
  <w:endnote w:type="continuationSeparator" w:id="0">
    <w:p w14:paraId="7ADB0882" w14:textId="77777777" w:rsidR="00AD2A0F" w:rsidRDefault="00AD2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9F71DC" w14:textId="77777777" w:rsidR="00EB258C" w:rsidRDefault="00EB258C" w:rsidP="000024AD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0DFF7A4" w14:textId="77777777" w:rsidR="00EB258C" w:rsidRDefault="00EB258C" w:rsidP="000024AD">
    <w:pPr>
      <w:pStyle w:val="Rodap"/>
      <w:ind w:right="360"/>
    </w:pPr>
  </w:p>
  <w:p w14:paraId="2B2C05A7" w14:textId="77777777" w:rsidR="00EB258C" w:rsidRDefault="00EB258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48C661F" w14:textId="77777777" w:rsidR="00EB258C" w:rsidRPr="008D0253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8D0253">
      <w:rPr>
        <w:rStyle w:val="Nmerodepgina"/>
        <w:rFonts w:ascii="Arial" w:hAnsi="Arial" w:cs="Arial"/>
      </w:rPr>
      <w:fldChar w:fldCharType="begin"/>
    </w:r>
    <w:r w:rsidRPr="008D0253">
      <w:rPr>
        <w:rStyle w:val="Nmerodepgina"/>
        <w:rFonts w:ascii="Arial" w:hAnsi="Arial" w:cs="Arial"/>
      </w:rPr>
      <w:instrText xml:space="preserve">PAGE  </w:instrText>
    </w:r>
    <w:r w:rsidRPr="008D0253">
      <w:rPr>
        <w:rStyle w:val="Nmerodepgina"/>
        <w:rFonts w:ascii="Arial" w:hAnsi="Arial" w:cs="Arial"/>
      </w:rPr>
      <w:fldChar w:fldCharType="separate"/>
    </w:r>
    <w:r w:rsidR="00035017">
      <w:rPr>
        <w:rStyle w:val="Nmerodepgina"/>
        <w:rFonts w:ascii="Arial" w:hAnsi="Arial" w:cs="Arial"/>
        <w:noProof/>
      </w:rPr>
      <w:t>2</w:t>
    </w:r>
    <w:r w:rsidRPr="008D0253">
      <w:rPr>
        <w:rStyle w:val="Nmerodepgina"/>
        <w:rFonts w:ascii="Arial" w:hAnsi="Arial" w:cs="Arial"/>
      </w:rPr>
      <w:fldChar w:fldCharType="end"/>
    </w:r>
  </w:p>
  <w:p w14:paraId="09367BCC" w14:textId="08329BFB" w:rsidR="00EB258C" w:rsidRDefault="00EB258C" w:rsidP="000024AD">
    <w:pPr>
      <w:pStyle w:val="Rodap"/>
      <w:ind w:right="360"/>
    </w:pPr>
  </w:p>
  <w:p w14:paraId="0A37EDFF" w14:textId="77777777" w:rsidR="00EB258C" w:rsidRDefault="00EB258C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E14EB0" w14:textId="77777777" w:rsidR="00EB258C" w:rsidRPr="004E70BB" w:rsidRDefault="00EB258C" w:rsidP="000024AD">
    <w:pPr>
      <w:pStyle w:val="Rodap"/>
      <w:framePr w:wrap="around" w:vAnchor="text" w:hAnchor="margin" w:xAlign="right" w:y="1"/>
      <w:rPr>
        <w:rStyle w:val="Nmerodepgina"/>
        <w:rFonts w:ascii="Arial" w:hAnsi="Arial" w:cs="Arial"/>
      </w:rPr>
    </w:pPr>
    <w:r w:rsidRPr="004E70BB">
      <w:rPr>
        <w:rStyle w:val="Nmerodepgina"/>
        <w:rFonts w:ascii="Arial" w:hAnsi="Arial" w:cs="Arial"/>
      </w:rPr>
      <w:fldChar w:fldCharType="begin"/>
    </w:r>
    <w:r w:rsidRPr="004E70BB">
      <w:rPr>
        <w:rStyle w:val="Nmerodepgina"/>
        <w:rFonts w:ascii="Arial" w:hAnsi="Arial" w:cs="Arial"/>
      </w:rPr>
      <w:instrText xml:space="preserve">PAGE  </w:instrText>
    </w:r>
    <w:r w:rsidRPr="004E70BB">
      <w:rPr>
        <w:rStyle w:val="Nmerodepgina"/>
        <w:rFonts w:ascii="Arial" w:hAnsi="Arial" w:cs="Arial"/>
      </w:rPr>
      <w:fldChar w:fldCharType="separate"/>
    </w:r>
    <w:r w:rsidR="009F4199">
      <w:rPr>
        <w:rStyle w:val="Nmerodepgina"/>
        <w:rFonts w:ascii="Arial" w:hAnsi="Arial" w:cs="Arial"/>
        <w:noProof/>
      </w:rPr>
      <w:t>1</w:t>
    </w:r>
    <w:r w:rsidRPr="004E70BB">
      <w:rPr>
        <w:rStyle w:val="Nmerodepgina"/>
        <w:rFonts w:ascii="Arial" w:hAnsi="Arial" w:cs="Arial"/>
      </w:rPr>
      <w:fldChar w:fldCharType="end"/>
    </w:r>
  </w:p>
  <w:p w14:paraId="5B948C1B" w14:textId="5E00A0BB" w:rsidR="00EB258C" w:rsidRDefault="00EB258C">
    <w:pPr>
      <w:pStyle w:val="Rodap"/>
    </w:pPr>
  </w:p>
  <w:p w14:paraId="6CCFBD4D" w14:textId="77777777" w:rsidR="00EB258C" w:rsidRDefault="00EB258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0026B7D" w14:textId="77777777" w:rsidR="00AD2A0F" w:rsidRDefault="00AD2A0F">
      <w:r>
        <w:separator/>
      </w:r>
    </w:p>
  </w:footnote>
  <w:footnote w:type="continuationSeparator" w:id="0">
    <w:p w14:paraId="060587C1" w14:textId="77777777" w:rsidR="00AD2A0F" w:rsidRDefault="00AD2A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0BEE45" w14:textId="2005B484" w:rsidR="00EB258C" w:rsidRDefault="00E14C74" w:rsidP="000024AD">
    <w:pPr>
      <w:pStyle w:val="Cabealho"/>
    </w:pPr>
    <w:r>
      <w:rPr>
        <w:rFonts w:eastAsia="Times New Roman"/>
        <w:noProof/>
        <w:lang w:eastAsia="pt-BR"/>
      </w:rPr>
      <w:drawing>
        <wp:inline distT="0" distB="0" distL="0" distR="0" wp14:anchorId="1FB932AF" wp14:editId="064719BC">
          <wp:extent cx="7543800" cy="1752600"/>
          <wp:effectExtent l="0" t="0" r="0" b="0"/>
          <wp:docPr id="1" name="Imagem 1" descr="cid:9568FC86-7B90-4D9C-B11F-E7B56A8BFA8A@FIESP.S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5B0369D4-2415-4E51-9995-606D2D57C78C" descr="cid:9568FC86-7B90-4D9C-B11F-E7B56A8BFA8A@FIESP.SP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75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2543F"/>
    <w:multiLevelType w:val="hybridMultilevel"/>
    <w:tmpl w:val="8B1C31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4CE2934"/>
    <w:multiLevelType w:val="hybridMultilevel"/>
    <w:tmpl w:val="F9E2045A"/>
    <w:lvl w:ilvl="0" w:tplc="6B6EE74C">
      <w:start w:val="1"/>
      <w:numFmt w:val="bullet"/>
      <w:suff w:val="space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07824E9"/>
    <w:multiLevelType w:val="hybridMultilevel"/>
    <w:tmpl w:val="19B0FDDA"/>
    <w:lvl w:ilvl="0" w:tplc="5CCC8BCE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560C25"/>
    <w:multiLevelType w:val="hybridMultilevel"/>
    <w:tmpl w:val="26F860CA"/>
    <w:lvl w:ilvl="0" w:tplc="2F4CC910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40B10C42"/>
    <w:multiLevelType w:val="hybridMultilevel"/>
    <w:tmpl w:val="7054D9C2"/>
    <w:lvl w:ilvl="0" w:tplc="4FD0702A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5">
    <w:nsid w:val="40EC5A7E"/>
    <w:multiLevelType w:val="hybridMultilevel"/>
    <w:tmpl w:val="BDE69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A294729"/>
    <w:multiLevelType w:val="hybridMultilevel"/>
    <w:tmpl w:val="4A6A3D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EC327E5"/>
    <w:multiLevelType w:val="hybridMultilevel"/>
    <w:tmpl w:val="7CFEB618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0491193"/>
    <w:multiLevelType w:val="hybridMultilevel"/>
    <w:tmpl w:val="4782D538"/>
    <w:lvl w:ilvl="0" w:tplc="9A5C672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6A1F79F6"/>
    <w:multiLevelType w:val="hybridMultilevel"/>
    <w:tmpl w:val="27A2FCCA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FD642CB"/>
    <w:multiLevelType w:val="hybridMultilevel"/>
    <w:tmpl w:val="74AA14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36E04E8"/>
    <w:multiLevelType w:val="hybridMultilevel"/>
    <w:tmpl w:val="473636F2"/>
    <w:lvl w:ilvl="0" w:tplc="B5A05F30">
      <w:start w:val="1"/>
      <w:numFmt w:val="bullet"/>
      <w:suff w:val="space"/>
      <w:lvlText w:val=""/>
      <w:lvlJc w:val="left"/>
      <w:pPr>
        <w:ind w:left="567" w:firstLine="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75017CDA"/>
    <w:multiLevelType w:val="hybridMultilevel"/>
    <w:tmpl w:val="235CD2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A5738A"/>
    <w:multiLevelType w:val="hybridMultilevel"/>
    <w:tmpl w:val="722EE8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F0D5B61"/>
    <w:multiLevelType w:val="hybridMultilevel"/>
    <w:tmpl w:val="7F9E5AA4"/>
    <w:lvl w:ilvl="0" w:tplc="AEE64F3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3"/>
  </w:num>
  <w:num w:numId="5">
    <w:abstractNumId w:val="12"/>
  </w:num>
  <w:num w:numId="6">
    <w:abstractNumId w:val="6"/>
  </w:num>
  <w:num w:numId="7">
    <w:abstractNumId w:val="0"/>
  </w:num>
  <w:num w:numId="8">
    <w:abstractNumId w:val="10"/>
  </w:num>
  <w:num w:numId="9">
    <w:abstractNumId w:val="2"/>
  </w:num>
  <w:num w:numId="10">
    <w:abstractNumId w:val="9"/>
  </w:num>
  <w:num w:numId="11">
    <w:abstractNumId w:val="7"/>
  </w:num>
  <w:num w:numId="12">
    <w:abstractNumId w:val="8"/>
  </w:num>
  <w:num w:numId="13">
    <w:abstractNumId w:val="14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7AE6"/>
    <w:rsid w:val="000024AD"/>
    <w:rsid w:val="00011B81"/>
    <w:rsid w:val="00012B08"/>
    <w:rsid w:val="00020DC2"/>
    <w:rsid w:val="0002441D"/>
    <w:rsid w:val="00035017"/>
    <w:rsid w:val="00054039"/>
    <w:rsid w:val="000B4B9A"/>
    <w:rsid w:val="000D5567"/>
    <w:rsid w:val="0010154E"/>
    <w:rsid w:val="00115911"/>
    <w:rsid w:val="00116AC0"/>
    <w:rsid w:val="0012009A"/>
    <w:rsid w:val="00124DF4"/>
    <w:rsid w:val="00134EB9"/>
    <w:rsid w:val="00136341"/>
    <w:rsid w:val="00143CFA"/>
    <w:rsid w:val="0015667E"/>
    <w:rsid w:val="00170CB5"/>
    <w:rsid w:val="00171459"/>
    <w:rsid w:val="00173FA8"/>
    <w:rsid w:val="001922B7"/>
    <w:rsid w:val="001B3AF1"/>
    <w:rsid w:val="001D0B64"/>
    <w:rsid w:val="001D24D2"/>
    <w:rsid w:val="001E5BE2"/>
    <w:rsid w:val="001F13CB"/>
    <w:rsid w:val="001F6769"/>
    <w:rsid w:val="00224C61"/>
    <w:rsid w:val="00224D33"/>
    <w:rsid w:val="002363B4"/>
    <w:rsid w:val="00244CEB"/>
    <w:rsid w:val="0026089D"/>
    <w:rsid w:val="00264A66"/>
    <w:rsid w:val="00272DAB"/>
    <w:rsid w:val="002770E2"/>
    <w:rsid w:val="00280946"/>
    <w:rsid w:val="00282AD7"/>
    <w:rsid w:val="00287616"/>
    <w:rsid w:val="002B4470"/>
    <w:rsid w:val="002C6AE6"/>
    <w:rsid w:val="002E2EA1"/>
    <w:rsid w:val="002E4994"/>
    <w:rsid w:val="002E5429"/>
    <w:rsid w:val="003472FC"/>
    <w:rsid w:val="00355FC3"/>
    <w:rsid w:val="003702BC"/>
    <w:rsid w:val="003723CB"/>
    <w:rsid w:val="003942D2"/>
    <w:rsid w:val="0039482F"/>
    <w:rsid w:val="003C29D0"/>
    <w:rsid w:val="003D5124"/>
    <w:rsid w:val="00416CC5"/>
    <w:rsid w:val="00431D25"/>
    <w:rsid w:val="004415F0"/>
    <w:rsid w:val="004737F0"/>
    <w:rsid w:val="0048135F"/>
    <w:rsid w:val="00491FE2"/>
    <w:rsid w:val="00492727"/>
    <w:rsid w:val="00493C4B"/>
    <w:rsid w:val="004A55AE"/>
    <w:rsid w:val="004B3F05"/>
    <w:rsid w:val="004C0EB0"/>
    <w:rsid w:val="004D0529"/>
    <w:rsid w:val="00500069"/>
    <w:rsid w:val="00520DD7"/>
    <w:rsid w:val="0053163A"/>
    <w:rsid w:val="00536DFF"/>
    <w:rsid w:val="00537038"/>
    <w:rsid w:val="0056076D"/>
    <w:rsid w:val="005728EA"/>
    <w:rsid w:val="00574EA6"/>
    <w:rsid w:val="00575787"/>
    <w:rsid w:val="00577AC5"/>
    <w:rsid w:val="00577D40"/>
    <w:rsid w:val="00591840"/>
    <w:rsid w:val="0059356E"/>
    <w:rsid w:val="005A72AC"/>
    <w:rsid w:val="005B0D9C"/>
    <w:rsid w:val="005C081E"/>
    <w:rsid w:val="005D0EBA"/>
    <w:rsid w:val="005E2843"/>
    <w:rsid w:val="005E3C88"/>
    <w:rsid w:val="005F226C"/>
    <w:rsid w:val="005F6EA6"/>
    <w:rsid w:val="00621F36"/>
    <w:rsid w:val="0063075E"/>
    <w:rsid w:val="00633644"/>
    <w:rsid w:val="006458CF"/>
    <w:rsid w:val="006611CA"/>
    <w:rsid w:val="006658A6"/>
    <w:rsid w:val="0066765F"/>
    <w:rsid w:val="00687892"/>
    <w:rsid w:val="00695AC1"/>
    <w:rsid w:val="006A0654"/>
    <w:rsid w:val="006A7BE2"/>
    <w:rsid w:val="006B6DB0"/>
    <w:rsid w:val="006D3606"/>
    <w:rsid w:val="006D39E0"/>
    <w:rsid w:val="006E597A"/>
    <w:rsid w:val="006F6EBE"/>
    <w:rsid w:val="00700D7A"/>
    <w:rsid w:val="00701488"/>
    <w:rsid w:val="00713EE8"/>
    <w:rsid w:val="00734F08"/>
    <w:rsid w:val="0074417E"/>
    <w:rsid w:val="00745194"/>
    <w:rsid w:val="0074614D"/>
    <w:rsid w:val="00747100"/>
    <w:rsid w:val="00763BC3"/>
    <w:rsid w:val="00774216"/>
    <w:rsid w:val="007A3D00"/>
    <w:rsid w:val="007C15AD"/>
    <w:rsid w:val="007D0A01"/>
    <w:rsid w:val="007D53A0"/>
    <w:rsid w:val="007F6B91"/>
    <w:rsid w:val="00801A3F"/>
    <w:rsid w:val="00813DC0"/>
    <w:rsid w:val="00822C81"/>
    <w:rsid w:val="00831FD1"/>
    <w:rsid w:val="00852BF6"/>
    <w:rsid w:val="00870EEC"/>
    <w:rsid w:val="008755B3"/>
    <w:rsid w:val="008845F9"/>
    <w:rsid w:val="008975C9"/>
    <w:rsid w:val="008D29F2"/>
    <w:rsid w:val="008F06F6"/>
    <w:rsid w:val="008F07FA"/>
    <w:rsid w:val="009105A6"/>
    <w:rsid w:val="009121BE"/>
    <w:rsid w:val="009221E1"/>
    <w:rsid w:val="00926ADC"/>
    <w:rsid w:val="00927348"/>
    <w:rsid w:val="00953A0B"/>
    <w:rsid w:val="00957465"/>
    <w:rsid w:val="009719F6"/>
    <w:rsid w:val="00973B00"/>
    <w:rsid w:val="00973E93"/>
    <w:rsid w:val="00980C12"/>
    <w:rsid w:val="009959DF"/>
    <w:rsid w:val="009A4F5D"/>
    <w:rsid w:val="009C6D0D"/>
    <w:rsid w:val="009E5149"/>
    <w:rsid w:val="009E5B44"/>
    <w:rsid w:val="009F4199"/>
    <w:rsid w:val="009F6500"/>
    <w:rsid w:val="00A13ED3"/>
    <w:rsid w:val="00A20F4D"/>
    <w:rsid w:val="00A34F80"/>
    <w:rsid w:val="00A57824"/>
    <w:rsid w:val="00A70B17"/>
    <w:rsid w:val="00A76A2C"/>
    <w:rsid w:val="00A83D43"/>
    <w:rsid w:val="00A957E3"/>
    <w:rsid w:val="00AA03C2"/>
    <w:rsid w:val="00AB0A5A"/>
    <w:rsid w:val="00AB3BDE"/>
    <w:rsid w:val="00AD2A0F"/>
    <w:rsid w:val="00AD54FE"/>
    <w:rsid w:val="00AE0C46"/>
    <w:rsid w:val="00AE0D60"/>
    <w:rsid w:val="00B045DC"/>
    <w:rsid w:val="00B542FF"/>
    <w:rsid w:val="00B6485A"/>
    <w:rsid w:val="00BA3956"/>
    <w:rsid w:val="00BB090D"/>
    <w:rsid w:val="00BB24DE"/>
    <w:rsid w:val="00BC3864"/>
    <w:rsid w:val="00BD15D4"/>
    <w:rsid w:val="00BD217C"/>
    <w:rsid w:val="00BD2B1D"/>
    <w:rsid w:val="00BD77C5"/>
    <w:rsid w:val="00BE4F6D"/>
    <w:rsid w:val="00C02CD3"/>
    <w:rsid w:val="00C3311C"/>
    <w:rsid w:val="00C433D7"/>
    <w:rsid w:val="00C514E8"/>
    <w:rsid w:val="00C52541"/>
    <w:rsid w:val="00C63A7B"/>
    <w:rsid w:val="00C71384"/>
    <w:rsid w:val="00CA4C3D"/>
    <w:rsid w:val="00CB6A98"/>
    <w:rsid w:val="00CB6FAF"/>
    <w:rsid w:val="00CC5539"/>
    <w:rsid w:val="00CC62E4"/>
    <w:rsid w:val="00CF0C69"/>
    <w:rsid w:val="00CF35D8"/>
    <w:rsid w:val="00CF5EF5"/>
    <w:rsid w:val="00D019FB"/>
    <w:rsid w:val="00D02144"/>
    <w:rsid w:val="00D02455"/>
    <w:rsid w:val="00D101E2"/>
    <w:rsid w:val="00D31992"/>
    <w:rsid w:val="00D33149"/>
    <w:rsid w:val="00D40B4D"/>
    <w:rsid w:val="00D51B68"/>
    <w:rsid w:val="00D75548"/>
    <w:rsid w:val="00D806FE"/>
    <w:rsid w:val="00D958DF"/>
    <w:rsid w:val="00DB724F"/>
    <w:rsid w:val="00DC18C3"/>
    <w:rsid w:val="00E1165A"/>
    <w:rsid w:val="00E1420F"/>
    <w:rsid w:val="00E14C74"/>
    <w:rsid w:val="00E14D55"/>
    <w:rsid w:val="00E17A36"/>
    <w:rsid w:val="00E32BFE"/>
    <w:rsid w:val="00E42466"/>
    <w:rsid w:val="00E43FAF"/>
    <w:rsid w:val="00E557E7"/>
    <w:rsid w:val="00E631BE"/>
    <w:rsid w:val="00E71898"/>
    <w:rsid w:val="00E733BD"/>
    <w:rsid w:val="00E82FE4"/>
    <w:rsid w:val="00E92455"/>
    <w:rsid w:val="00EA2144"/>
    <w:rsid w:val="00EB258C"/>
    <w:rsid w:val="00EC3456"/>
    <w:rsid w:val="00EC596D"/>
    <w:rsid w:val="00EC659D"/>
    <w:rsid w:val="00EE61B4"/>
    <w:rsid w:val="00EF1A8E"/>
    <w:rsid w:val="00F11A0C"/>
    <w:rsid w:val="00F21F19"/>
    <w:rsid w:val="00F3437B"/>
    <w:rsid w:val="00F37AE6"/>
    <w:rsid w:val="00F47BA4"/>
    <w:rsid w:val="00F532EF"/>
    <w:rsid w:val="00F560FD"/>
    <w:rsid w:val="00F722F8"/>
    <w:rsid w:val="00F96CC2"/>
    <w:rsid w:val="00F96F38"/>
    <w:rsid w:val="00FA3BE3"/>
    <w:rsid w:val="00FA4DA2"/>
    <w:rsid w:val="00FA5820"/>
    <w:rsid w:val="00FB6D6F"/>
    <w:rsid w:val="00FC5CB4"/>
    <w:rsid w:val="00FE42C4"/>
    <w:rsid w:val="00FF1B8D"/>
    <w:rsid w:val="00FF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0EFCD02"/>
  <w15:docId w15:val="{7D6A56ED-2C86-45B9-972F-EDFE446E7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7AE6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styleId="Rodap">
    <w:name w:val="footer"/>
    <w:basedOn w:val="Normal"/>
    <w:link w:val="RodapChar"/>
    <w:uiPriority w:val="99"/>
    <w:unhideWhenUsed/>
    <w:rsid w:val="00F37AE6"/>
    <w:pPr>
      <w:tabs>
        <w:tab w:val="center" w:pos="4320"/>
        <w:tab w:val="right" w:pos="8640"/>
      </w:tabs>
    </w:pPr>
  </w:style>
  <w:style w:type="character" w:customStyle="1" w:styleId="RodapChar">
    <w:name w:val="Rodapé Char"/>
    <w:basedOn w:val="Fontepargpadro"/>
    <w:link w:val="Rodap"/>
    <w:uiPriority w:val="99"/>
    <w:rsid w:val="00F37AE6"/>
    <w:rPr>
      <w:rFonts w:ascii="Times New Roman" w:eastAsiaTheme="minorEastAsia" w:hAnsi="Times New Roman" w:cs="Times New Roman"/>
      <w:sz w:val="24"/>
      <w:szCs w:val="24"/>
      <w:lang w:val="en-US"/>
    </w:rPr>
  </w:style>
  <w:style w:type="paragraph" w:customStyle="1" w:styleId="BasicParagraph">
    <w:name w:val="[Basic Paragraph]"/>
    <w:basedOn w:val="Normal"/>
    <w:uiPriority w:val="99"/>
    <w:rsid w:val="00F37AE6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eastAsia="ja-JP"/>
    </w:rPr>
  </w:style>
  <w:style w:type="character" w:styleId="Nmerodepgina">
    <w:name w:val="page number"/>
    <w:basedOn w:val="Fontepargpadro"/>
    <w:uiPriority w:val="99"/>
    <w:semiHidden/>
    <w:unhideWhenUsed/>
    <w:rsid w:val="00F37AE6"/>
  </w:style>
  <w:style w:type="paragraph" w:styleId="NormalWeb">
    <w:name w:val="Normal (Web)"/>
    <w:basedOn w:val="Normal"/>
    <w:uiPriority w:val="99"/>
    <w:unhideWhenUsed/>
    <w:rsid w:val="00F37AE6"/>
    <w:pPr>
      <w:spacing w:before="100" w:beforeAutospacing="1" w:after="100" w:afterAutospacing="1"/>
    </w:pPr>
    <w:rPr>
      <w:lang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F37AE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37AE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37AE6"/>
    <w:rPr>
      <w:rFonts w:ascii="Times New Roman" w:eastAsiaTheme="minorEastAsia" w:hAnsi="Times New Roman" w:cs="Times New Roman"/>
      <w:sz w:val="20"/>
      <w:szCs w:val="20"/>
      <w:lang w:val="en-US"/>
    </w:rPr>
  </w:style>
  <w:style w:type="table" w:styleId="Tabelacomgrade">
    <w:name w:val="Table Grid"/>
    <w:basedOn w:val="Tabelanormal"/>
    <w:uiPriority w:val="59"/>
    <w:rsid w:val="00F37AE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F37AE6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37AE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37AE6"/>
    <w:rPr>
      <w:rFonts w:ascii="Tahoma" w:eastAsiaTheme="minorEastAsia" w:hAnsi="Tahoma" w:cs="Tahoma"/>
      <w:sz w:val="16"/>
      <w:szCs w:val="16"/>
      <w:lang w:val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72DA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72DAB"/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character" w:styleId="HiperlinkVisitado">
    <w:name w:val="FollowedHyperlink"/>
    <w:basedOn w:val="Fontepargpadro"/>
    <w:uiPriority w:val="99"/>
    <w:semiHidden/>
    <w:unhideWhenUsed/>
    <w:rsid w:val="00D40B4D"/>
    <w:rPr>
      <w:color w:val="800080" w:themeColor="followedHyperlink"/>
      <w:u w:val="single"/>
    </w:rPr>
  </w:style>
  <w:style w:type="character" w:styleId="Forte">
    <w:name w:val="Strong"/>
    <w:basedOn w:val="Fontepargpadro"/>
    <w:uiPriority w:val="22"/>
    <w:qFormat/>
    <w:rsid w:val="00CF0C69"/>
    <w:rPr>
      <w:b/>
      <w:bCs/>
    </w:rPr>
  </w:style>
  <w:style w:type="character" w:customStyle="1" w:styleId="qterm2">
    <w:name w:val="qterm2"/>
    <w:basedOn w:val="Fontepargpadro"/>
    <w:rsid w:val="00EB258C"/>
  </w:style>
  <w:style w:type="paragraph" w:styleId="Textodenotadefim">
    <w:name w:val="endnote text"/>
    <w:basedOn w:val="Normal"/>
    <w:link w:val="TextodenotadefimChar"/>
    <w:uiPriority w:val="99"/>
    <w:unhideWhenUsed/>
    <w:rsid w:val="00EB258C"/>
    <w:rPr>
      <w:rFonts w:asciiTheme="minorHAnsi" w:eastAsiaTheme="minorHAnsi" w:hAnsiTheme="minorHAnsi" w:cstheme="minorBidi"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EB258C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EB258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unhideWhenUsed/>
    <w:rsid w:val="00EB258C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EB258C"/>
    <w:rPr>
      <w:rFonts w:ascii="Times New Roman" w:eastAsiaTheme="minorEastAsia" w:hAnsi="Times New Roman" w:cs="Times New Roman"/>
      <w:sz w:val="20"/>
      <w:szCs w:val="20"/>
      <w:lang w:val="en-US"/>
    </w:rPr>
  </w:style>
  <w:style w:type="character" w:styleId="Refdenotaderodap">
    <w:name w:val="footnote reference"/>
    <w:basedOn w:val="Fontepargpadro"/>
    <w:semiHidden/>
    <w:unhideWhenUsed/>
    <w:rsid w:val="00EB258C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DC18C3"/>
    <w:pPr>
      <w:ind w:left="720"/>
      <w:contextualSpacing/>
    </w:pPr>
  </w:style>
  <w:style w:type="character" w:customStyle="1" w:styleId="apple-style-span">
    <w:name w:val="apple-style-span"/>
    <w:basedOn w:val="Fontepargpadro"/>
    <w:rsid w:val="00DC18C3"/>
  </w:style>
  <w:style w:type="character" w:customStyle="1" w:styleId="apple-converted-space">
    <w:name w:val="apple-converted-space"/>
    <w:basedOn w:val="Fontepargpadro"/>
    <w:rsid w:val="00DC18C3"/>
  </w:style>
  <w:style w:type="paragraph" w:customStyle="1" w:styleId="textbody">
    <w:name w:val="textbody"/>
    <w:basedOn w:val="Normal"/>
    <w:rsid w:val="00BE4F6D"/>
    <w:pPr>
      <w:spacing w:before="100" w:beforeAutospacing="1" w:after="100" w:afterAutospacing="1"/>
    </w:pPr>
    <w:rPr>
      <w:rFonts w:eastAsia="Times New Roman"/>
      <w:lang w:eastAsia="pt-BR"/>
    </w:rPr>
  </w:style>
  <w:style w:type="character" w:customStyle="1" w:styleId="TextodeEspaoReservado">
    <w:name w:val="Texto de Espaço Reservado"/>
    <w:basedOn w:val="Fontepargpadro"/>
    <w:uiPriority w:val="99"/>
    <w:semiHidden/>
    <w:rsid w:val="00BE4F6D"/>
    <w:rPr>
      <w:color w:val="808080"/>
    </w:rPr>
  </w:style>
  <w:style w:type="paragraph" w:styleId="Corpodetexto3">
    <w:name w:val="Body Text 3"/>
    <w:basedOn w:val="Normal"/>
    <w:link w:val="Corpodetexto3Char"/>
    <w:rsid w:val="00F96CC2"/>
    <w:pPr>
      <w:spacing w:after="120"/>
    </w:pPr>
    <w:rPr>
      <w:rFonts w:eastAsia="Times New Roman"/>
      <w:sz w:val="16"/>
      <w:szCs w:val="16"/>
      <w:lang w:eastAsia="pt-BR"/>
    </w:rPr>
  </w:style>
  <w:style w:type="character" w:customStyle="1" w:styleId="Corpodetexto3Char">
    <w:name w:val="Corpo de texto 3 Char"/>
    <w:basedOn w:val="Fontepargpadro"/>
    <w:link w:val="Corpodetexto3"/>
    <w:rsid w:val="00F96CC2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CitaoIntensa">
    <w:name w:val="Intense Quote"/>
    <w:aliases w:val="Categorias"/>
    <w:basedOn w:val="Lista"/>
    <w:next w:val="Lista"/>
    <w:link w:val="CitaoIntensaChar"/>
    <w:qFormat/>
    <w:rsid w:val="009959DF"/>
    <w:pPr>
      <w:pBdr>
        <w:top w:val="single" w:sz="4" w:space="10" w:color="8BAB9A"/>
        <w:left w:val="single" w:sz="4" w:space="4" w:color="8BAB9A"/>
        <w:bottom w:val="single" w:sz="4" w:space="10" w:color="8BAB9A"/>
        <w:right w:val="single" w:sz="4" w:space="4" w:color="8BAB9A"/>
      </w:pBdr>
      <w:spacing w:before="360" w:after="360"/>
      <w:ind w:left="1135" w:right="113" w:hanging="284"/>
      <w:jc w:val="center"/>
    </w:pPr>
    <w:rPr>
      <w:rFonts w:ascii="Arial" w:eastAsia="MS Mincho" w:hAnsi="Arial"/>
      <w:b/>
      <w:iCs/>
      <w:color w:val="648A76"/>
      <w:sz w:val="20"/>
    </w:rPr>
  </w:style>
  <w:style w:type="character" w:customStyle="1" w:styleId="CitaoIntensaChar">
    <w:name w:val="Citação Intensa Char"/>
    <w:aliases w:val="Categorias Char"/>
    <w:basedOn w:val="Fontepargpadro"/>
    <w:link w:val="CitaoIntensa"/>
    <w:rsid w:val="009959DF"/>
    <w:rPr>
      <w:rFonts w:ascii="Arial" w:eastAsia="MS Mincho" w:hAnsi="Arial" w:cs="Times New Roman"/>
      <w:b/>
      <w:iCs/>
      <w:color w:val="648A76"/>
      <w:sz w:val="20"/>
      <w:szCs w:val="24"/>
    </w:rPr>
  </w:style>
  <w:style w:type="paragraph" w:styleId="Lista">
    <w:name w:val="List"/>
    <w:basedOn w:val="Normal"/>
    <w:uiPriority w:val="99"/>
    <w:semiHidden/>
    <w:unhideWhenUsed/>
    <w:rsid w:val="009959DF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9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22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900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63491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155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81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2677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158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9568FC86-7B90-4D9C-B11F-E7B56A8BFA8A@FIESP.SP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47DB8-EF72-4AD1-836E-5FB6E5E25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FIESP</Company>
  <LinksUpToDate>false</LinksUpToDate>
  <CharactersWithSpaces>1139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Lima</dc:creator>
  <cp:lastModifiedBy>Allan Leal Reis</cp:lastModifiedBy>
  <cp:revision>3</cp:revision>
  <cp:lastPrinted>2015-10-26T17:10:00Z</cp:lastPrinted>
  <dcterms:created xsi:type="dcterms:W3CDTF">2015-12-08T10:18:00Z</dcterms:created>
  <dcterms:modified xsi:type="dcterms:W3CDTF">2015-12-10T13:54:00Z</dcterms:modified>
</cp:coreProperties>
</file>